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98" w:rsidRDefault="00B16352" w:rsidP="00B16352">
      <w:pPr>
        <w:pStyle w:val="Corpodetexto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EDITAL </w:t>
      </w:r>
      <w:r>
        <w:rPr>
          <w:rFonts w:ascii="Arial" w:hAnsi="Arial" w:cs="Arial"/>
          <w:b w:val="0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PREGÃO PRESENCIAL Nº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08/2020</w:t>
      </w:r>
    </w:p>
    <w:p w:rsidR="00A62E98" w:rsidRDefault="00B16352" w:rsidP="00B16352">
      <w:pPr>
        <w:pStyle w:val="Corpodetexto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OBJETO:</w:t>
      </w:r>
      <w:r>
        <w:rPr>
          <w:rFonts w:ascii="Arial" w:hAnsi="Arial" w:cs="Arial"/>
          <w:b w:val="0"/>
          <w:sz w:val="20"/>
          <w:szCs w:val="20"/>
        </w:rPr>
        <w:t xml:space="preserve"> FORNECIMENTO, GARANTIA E ASSISTÊNCIA TÉCNICA DE APARELHOS DE AR CONDICIONADO, DESTINADOS A ATENDER AS NECESSIDADES DA ADMINISTRAÇÃO DIRETA E INDIRETA (AUTARQUIAS, FUNDOS E FUNDAÇÕES) DO MUNICÍPIO DE TIMBÓ.</w:t>
      </w:r>
    </w:p>
    <w:p w:rsidR="00A62E98" w:rsidRDefault="00B16352" w:rsidP="00B16352">
      <w:pPr>
        <w:pStyle w:val="Corpodetexto"/>
        <w:spacing w:line="360" w:lineRule="auto"/>
        <w:rPr>
          <w:rFonts w:ascii="Arial" w:hAnsi="Arial" w:cs="Arial"/>
          <w:i w:val="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IMPUGNANTE:</w:t>
      </w:r>
      <w:r>
        <w:rPr>
          <w:rFonts w:ascii="Arial" w:hAnsi="Arial" w:cs="Arial"/>
          <w:b w:val="0"/>
          <w:sz w:val="20"/>
          <w:szCs w:val="20"/>
        </w:rPr>
        <w:t xml:space="preserve"> FRIMAC REFRIGERAÇÃO EIRELI</w:t>
      </w:r>
    </w:p>
    <w:p w:rsidR="00A62E98" w:rsidRDefault="00A62E98" w:rsidP="00B16352">
      <w:pPr>
        <w:pStyle w:val="Corpodetexto"/>
        <w:spacing w:line="360" w:lineRule="auto"/>
        <w:jc w:val="center"/>
        <w:rPr>
          <w:rFonts w:ascii="Arial" w:hAnsi="Arial" w:cs="Arial"/>
          <w:i w:val="0"/>
          <w:sz w:val="20"/>
          <w:szCs w:val="20"/>
          <w:u w:val="single"/>
        </w:rPr>
      </w:pPr>
    </w:p>
    <w:p w:rsidR="00A62E98" w:rsidRDefault="00A62E98" w:rsidP="00B16352">
      <w:pPr>
        <w:pStyle w:val="Corpodetexto"/>
        <w:spacing w:line="360" w:lineRule="auto"/>
        <w:jc w:val="center"/>
        <w:rPr>
          <w:rFonts w:ascii="Arial" w:hAnsi="Arial" w:cs="Arial"/>
          <w:i w:val="0"/>
          <w:sz w:val="20"/>
          <w:szCs w:val="20"/>
          <w:u w:val="single"/>
        </w:rPr>
      </w:pPr>
    </w:p>
    <w:p w:rsidR="00A62E98" w:rsidRDefault="00B16352" w:rsidP="00B16352">
      <w:pPr>
        <w:pStyle w:val="Corpodetexto"/>
        <w:spacing w:line="360" w:lineRule="auto"/>
        <w:jc w:val="center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  <w:u w:val="single"/>
        </w:rPr>
        <w:t xml:space="preserve">DECISÃO </w:t>
      </w:r>
    </w:p>
    <w:p w:rsidR="00A62E98" w:rsidRDefault="00A62E98" w:rsidP="00B163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A62E98" w:rsidRDefault="00A62E98" w:rsidP="00B16352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A62E98" w:rsidRDefault="00A62E98" w:rsidP="00B16352">
      <w:pPr>
        <w:spacing w:after="0" w:line="360" w:lineRule="auto"/>
        <w:ind w:firstLine="113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62E98" w:rsidRDefault="00B16352" w:rsidP="00B163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I. DOS FATOS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tabs>
          <w:tab w:val="left" w:pos="70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  <w:t xml:space="preserve">Trata-se de impugnação intentada em 03/03/2020 por FRIMAC Refrigeração </w:t>
      </w:r>
      <w:proofErr w:type="spellStart"/>
      <w:r>
        <w:rPr>
          <w:rFonts w:ascii="Arial" w:hAnsi="Arial" w:cs="Arial"/>
          <w:b w:val="0"/>
          <w:i w:val="0"/>
          <w:sz w:val="20"/>
          <w:szCs w:val="20"/>
        </w:rPr>
        <w:t>Eireli</w:t>
      </w:r>
      <w:proofErr w:type="spellEnd"/>
      <w:r>
        <w:rPr>
          <w:rFonts w:ascii="Arial" w:hAnsi="Arial" w:cs="Arial"/>
          <w:b w:val="0"/>
          <w:i w:val="0"/>
          <w:sz w:val="20"/>
          <w:szCs w:val="20"/>
        </w:rPr>
        <w:t xml:space="preserve"> aos termos do edital de Pregão presencial para Registro de Preço n° 08/2020, que objetiva o</w:t>
      </w:r>
      <w:r>
        <w:t xml:space="preserve"> </w:t>
      </w:r>
      <w:r>
        <w:rPr>
          <w:rFonts w:ascii="Arial" w:hAnsi="Arial" w:cs="Arial"/>
          <w:b w:val="0"/>
          <w:i w:val="0"/>
          <w:sz w:val="20"/>
          <w:szCs w:val="20"/>
        </w:rPr>
        <w:t>FORNECIMENTO, GARA</w:t>
      </w:r>
      <w:r>
        <w:rPr>
          <w:rFonts w:ascii="Arial" w:hAnsi="Arial" w:cs="Arial"/>
          <w:b w:val="0"/>
          <w:i w:val="0"/>
          <w:sz w:val="20"/>
          <w:szCs w:val="20"/>
        </w:rPr>
        <w:t>NTIA E ASSISTÊNCIA TÉCNICA DE APARELHOS DE AR CONDICIONADO, DESTINADOS A ATENDER AS NECESSIDADES DA ADMINISTRAÇÃO DIRETA E INDIRETA (AUTARQUIAS, FUNDOS E FUNDAÇÕES) DO MUNICÍPIO DE TIMBÓ, publicado em 27/02/2020 com data de entrega dos envelopes e abertura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das propostas agendada para 10/03/2020 as 09:05 horas. 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Em suas r</w:t>
      </w:r>
      <w:r>
        <w:rPr>
          <w:rFonts w:ascii="Arial" w:hAnsi="Arial" w:cs="Arial"/>
          <w:b w:val="0"/>
          <w:i w:val="0"/>
          <w:sz w:val="20"/>
          <w:szCs w:val="20"/>
        </w:rPr>
        <w:t>azões, a impugnante assevera, na síntese que se faz necessária, irregularidade no certame face a suposta ocorrência de inexequibilidade dos valores estabelecidos pela administração como “va</w:t>
      </w:r>
      <w:r>
        <w:rPr>
          <w:rFonts w:ascii="Arial" w:hAnsi="Arial" w:cs="Arial"/>
          <w:b w:val="0"/>
          <w:i w:val="0"/>
          <w:sz w:val="20"/>
          <w:szCs w:val="20"/>
        </w:rPr>
        <w:t>lor máximo” para o objeto, que, segundo afirma, não seguem a média de mercado definida; c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om relação à descrição dos itens que compõe o objeto da licitação, alega suposta restrição de competitividade face ao alegado “excesso de descrição limitando diversas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marcas a </w:t>
      </w:r>
      <w:proofErr w:type="gramStart"/>
      <w:r>
        <w:rPr>
          <w:rFonts w:ascii="Arial" w:hAnsi="Arial" w:cs="Arial"/>
          <w:b w:val="0"/>
          <w:i w:val="0"/>
          <w:sz w:val="20"/>
          <w:szCs w:val="20"/>
        </w:rPr>
        <w:t>participarem.”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 xml:space="preserve"> Fundamenta seu argumento no fato de inexistir padrão entre a vazão de ar, peso, volume, potê</w:t>
      </w:r>
      <w:r>
        <w:rPr>
          <w:rFonts w:ascii="Arial" w:hAnsi="Arial" w:cs="Arial"/>
          <w:b w:val="0"/>
          <w:i w:val="0"/>
          <w:sz w:val="20"/>
          <w:szCs w:val="20"/>
        </w:rPr>
        <w:t>ncia, nível de ruído, dimensões, e funções dos aparelhos de diversas marcas, e que ao estabelecer critérios no edital, limitou a concorrênci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a. Ao final, pede a suspensão do certame, e retificação de seus termos, em especial dos valores consignados como máximos ao objeto e </w:t>
      </w:r>
      <w:r>
        <w:rPr>
          <w:rFonts w:ascii="Arial" w:hAnsi="Arial" w:cs="Arial"/>
          <w:b w:val="0"/>
          <w:i w:val="0"/>
          <w:sz w:val="20"/>
          <w:szCs w:val="20"/>
          <w:u w:val="single"/>
        </w:rPr>
        <w:t>a retirada das características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consignadas para os aparelhos, em especial “</w:t>
      </w:r>
      <w:r>
        <w:rPr>
          <w:rFonts w:ascii="Arial" w:hAnsi="Arial" w:cs="Arial"/>
          <w:b w:val="0"/>
          <w:sz w:val="20"/>
          <w:szCs w:val="20"/>
          <w:u w:val="single"/>
        </w:rPr>
        <w:t>a vazão, nível de ruído e consumo</w:t>
      </w:r>
      <w:r>
        <w:rPr>
          <w:rFonts w:ascii="Arial" w:hAnsi="Arial" w:cs="Arial"/>
          <w:b w:val="0"/>
          <w:i w:val="0"/>
          <w:sz w:val="20"/>
          <w:szCs w:val="20"/>
        </w:rPr>
        <w:t>”.</w:t>
      </w:r>
    </w:p>
    <w:p w:rsidR="00A62E98" w:rsidRDefault="00A62E98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Sendo este,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em síntese, o relatório, passamos à análise e decisão da impugnação.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:rsidR="00A62E98" w:rsidRDefault="00B16352" w:rsidP="00B163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DA TEMPESTIVIDADE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 w:val="0"/>
          <w:i w:val="0"/>
          <w:sz w:val="20"/>
          <w:szCs w:val="20"/>
        </w:rPr>
        <w:lastRenderedPageBreak/>
        <w:t>A impugnação é tempestiva, eis que intentada em 03/03/2020 para certame com previsão de entrega dos envelopes em 10/03/2020, motivo pelo qual a impugnação deve se</w:t>
      </w:r>
      <w:r>
        <w:rPr>
          <w:rFonts w:ascii="Arial" w:hAnsi="Arial" w:cs="Arial"/>
          <w:b w:val="0"/>
          <w:i w:val="0"/>
          <w:sz w:val="20"/>
          <w:szCs w:val="20"/>
        </w:rPr>
        <w:t>r conhecida.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A62E98" w:rsidRDefault="00B16352" w:rsidP="00B163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DO MÉRITO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Vistos e analisados os autos da impugnação apresentada, com o devido respeito a idiossincrasia do requerente, não há razão para qualquer retificação dos termos consignados no edital, estando hígido em sua legalidade, senão vejamos: 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I – DO VALOR DE REFERÊ</w:t>
      </w:r>
      <w:r>
        <w:rPr>
          <w:rFonts w:ascii="Arial" w:hAnsi="Arial" w:cs="Arial"/>
          <w:b/>
          <w:sz w:val="20"/>
          <w:szCs w:val="20"/>
        </w:rPr>
        <w:t>NCIA E SUA COMPATIBILIDADE COM O MERCADO</w:t>
      </w:r>
    </w:p>
    <w:p w:rsidR="00A62E98" w:rsidRDefault="00A62E98" w:rsidP="00B16352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Em que pese a impugnante assevere que os valores consignados no edital como “valor máximo” </w:t>
      </w:r>
      <w:r>
        <w:rPr>
          <w:rFonts w:ascii="Arial" w:hAnsi="Arial" w:cs="Arial"/>
          <w:b w:val="0"/>
          <w:i w:val="0"/>
          <w:sz w:val="20"/>
          <w:szCs w:val="20"/>
        </w:rPr>
        <w:t>não atendam aos requisitos do mercado, cinge sua impugnação a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mera especulação argumentativa, eis que não juntou aos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autos quaisquer provas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de que os valores estabelecidos no edital COMO REFERÊNCIA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estejam abaixo do mercado. </w:t>
      </w:r>
    </w:p>
    <w:p w:rsidR="00A62E98" w:rsidRDefault="00A62E98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Ao revés, infere-se dos autos do processo licitatório,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precisamente nos documentos juntados na fase interna da licitação, que os valores consignad</w:t>
      </w:r>
      <w:r>
        <w:rPr>
          <w:rFonts w:ascii="Arial" w:hAnsi="Arial" w:cs="Arial"/>
          <w:b w:val="0"/>
          <w:i w:val="0"/>
          <w:sz w:val="20"/>
          <w:szCs w:val="20"/>
        </w:rPr>
        <w:t>os no edital em seu anexo I como referência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levam em consideração os valores informados ao departamento de compras por entidades idôneas, bem como os valores já praticados pela administração no último registro de preço, o que demonstra sem sombra de dúvid</w:t>
      </w:r>
      <w:r>
        <w:rPr>
          <w:rFonts w:ascii="Arial" w:hAnsi="Arial" w:cs="Arial"/>
          <w:b w:val="0"/>
          <w:i w:val="0"/>
          <w:sz w:val="20"/>
          <w:szCs w:val="20"/>
        </w:rPr>
        <w:t>as a regularidade/compatibilidade com os valores praticados pelo mercado.</w:t>
      </w:r>
    </w:p>
    <w:p w:rsidR="00A62E98" w:rsidRDefault="00A62E98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Não obstante, os valores consignados no edital impugnado não são estabelecidos como “</w:t>
      </w:r>
      <w:r>
        <w:rPr>
          <w:rFonts w:ascii="Arial" w:hAnsi="Arial" w:cs="Arial"/>
          <w:i w:val="0"/>
          <w:sz w:val="20"/>
          <w:szCs w:val="20"/>
        </w:rPr>
        <w:t>MÁ</w:t>
      </w:r>
      <w:r>
        <w:rPr>
          <w:rFonts w:ascii="Arial" w:hAnsi="Arial" w:cs="Arial"/>
          <w:i w:val="0"/>
          <w:sz w:val="20"/>
          <w:szCs w:val="20"/>
        </w:rPr>
        <w:t xml:space="preserve">XIMOS” </w:t>
      </w:r>
      <w:r>
        <w:rPr>
          <w:rFonts w:ascii="Arial" w:hAnsi="Arial" w:cs="Arial"/>
          <w:b w:val="0"/>
          <w:i w:val="0"/>
          <w:sz w:val="20"/>
          <w:szCs w:val="20"/>
        </w:rPr>
        <w:t>para aquisição dos produtos pela administração</w:t>
      </w:r>
      <w:r>
        <w:rPr>
          <w:rFonts w:ascii="Arial" w:hAnsi="Arial" w:cs="Arial"/>
          <w:i w:val="0"/>
          <w:sz w:val="20"/>
          <w:szCs w:val="20"/>
        </w:rPr>
        <w:t>,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como afirma equivocadamente o impugnant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e, mas sim </w:t>
      </w:r>
      <w:r>
        <w:rPr>
          <w:rFonts w:ascii="Arial" w:hAnsi="Arial" w:cs="Arial"/>
          <w:i w:val="0"/>
          <w:sz w:val="20"/>
          <w:szCs w:val="20"/>
        </w:rPr>
        <w:t>“REFERÊ</w:t>
      </w:r>
      <w:r>
        <w:rPr>
          <w:rFonts w:ascii="Arial" w:hAnsi="Arial" w:cs="Arial"/>
          <w:i w:val="0"/>
          <w:sz w:val="20"/>
          <w:szCs w:val="20"/>
        </w:rPr>
        <w:t>NCIA”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. </w:t>
      </w:r>
    </w:p>
    <w:p w:rsidR="00A62E98" w:rsidRDefault="00A62E98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Essa simples informação modifica por completo a visão da licitação, eis que, ao contrário dos valores estabelecidos como “máximos”, os valores de “referê</w:t>
      </w:r>
      <w:r>
        <w:rPr>
          <w:rFonts w:ascii="Arial" w:hAnsi="Arial" w:cs="Arial"/>
          <w:b w:val="0"/>
          <w:i w:val="0"/>
          <w:sz w:val="20"/>
          <w:szCs w:val="20"/>
        </w:rPr>
        <w:t>ncia” NÃO CONSTITUEM TETO PARA AQUISIÇÃO, mas sim, como o próprio termo já e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stabelece, uma referência para que o pregoeiro possa avaliar a exequibilidade da proposta, inexistindo prejuízo aos licitantes apresentarem valores acima dos estabelecidos como referência. </w:t>
      </w:r>
    </w:p>
    <w:p w:rsidR="00A62E98" w:rsidRDefault="00A62E98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lastRenderedPageBreak/>
        <w:t>Nesse sentido, desta</w:t>
      </w:r>
      <w:r>
        <w:rPr>
          <w:rFonts w:ascii="Arial" w:hAnsi="Arial" w:cs="Arial"/>
          <w:b w:val="0"/>
          <w:i w:val="0"/>
          <w:sz w:val="20"/>
          <w:szCs w:val="20"/>
        </w:rPr>
        <w:t>camos o entendimento sufragado pelo Tribunal de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Contas da União</w:t>
      </w:r>
      <w:r>
        <w:rPr>
          <w:rStyle w:val="Refdenotaderodap"/>
          <w:rFonts w:ascii="Arial" w:hAnsi="Arial" w:cs="Arial"/>
          <w:b w:val="0"/>
          <w:i w:val="0"/>
          <w:sz w:val="20"/>
          <w:szCs w:val="20"/>
        </w:rPr>
        <w:footnoteReference w:id="1"/>
      </w:r>
      <w:r>
        <w:rPr>
          <w:rFonts w:ascii="Arial" w:hAnsi="Arial" w:cs="Arial"/>
          <w:b w:val="0"/>
          <w:i w:val="0"/>
          <w:sz w:val="20"/>
          <w:szCs w:val="20"/>
        </w:rPr>
        <w:t xml:space="preserve"> sobre o tema: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</w:t>
      </w:r>
    </w:p>
    <w:p w:rsidR="00B16352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“</w:t>
      </w:r>
      <w:r>
        <w:rPr>
          <w:rFonts w:ascii="Arial" w:hAnsi="Arial" w:cs="Arial"/>
          <w:b w:val="0"/>
          <w:sz w:val="20"/>
          <w:szCs w:val="20"/>
        </w:rPr>
        <w:t>REPRESENTAÇÃO COM PEDIDO DE MEDIDA CAUTELAR. OITIVA PRÉVIA DO REPRESENTADO. APRESENTAÇÃO DE JUSTIFICATIVAS. LICITAÇÃO SUSPENSA POR INICIATIVA DO PRÓPRIO ÓRGÃO. NEGATIVA DO PROVIMENTO CAUTELAR. EXAME DO MÉRITO. PROCEDÊ</w:t>
      </w:r>
      <w:r>
        <w:rPr>
          <w:rFonts w:ascii="Arial" w:hAnsi="Arial" w:cs="Arial"/>
          <w:b w:val="0"/>
          <w:sz w:val="20"/>
          <w:szCs w:val="20"/>
        </w:rPr>
        <w:t>NCIA PARCIAL. EXPEDIÇÃO DE DETERMINAÇÕES E RECOMENDAÇÃO. ARQUIVAMENTO. 1. No instrumento convocatório, só podem ser formuladas exigências de qualificação técnica que encontrem respaldo em lei (art. 27, caput, c/c art. 30, caput, ambos da Lei n.º 8.666/93),</w:t>
      </w:r>
      <w:r>
        <w:rPr>
          <w:rFonts w:ascii="Arial" w:hAnsi="Arial" w:cs="Arial"/>
          <w:b w:val="0"/>
          <w:sz w:val="20"/>
          <w:szCs w:val="20"/>
        </w:rPr>
        <w:t xml:space="preserve"> e desde que se revelem, no caso concreto, indispensáveis à garantia do cumprimento das obrigações a serem assumidas perante o ente público contratante (art. 37, XXI, in fine, da Constituição Federal de 1988). 2. O art. 30 da Lei n.º 8.666/93 enumera os do</w:t>
      </w:r>
      <w:r>
        <w:rPr>
          <w:rFonts w:ascii="Arial" w:hAnsi="Arial" w:cs="Arial"/>
          <w:b w:val="0"/>
          <w:sz w:val="20"/>
          <w:szCs w:val="20"/>
        </w:rPr>
        <w:t xml:space="preserve">cumentos que podem ser exigidos para fim de comprovação da qualificação técnica das licitantes, entre os quais não se incluem certificados de qualidade. </w:t>
      </w:r>
      <w:r>
        <w:rPr>
          <w:rFonts w:ascii="Arial" w:hAnsi="Arial" w:cs="Arial"/>
          <w:sz w:val="20"/>
          <w:szCs w:val="20"/>
          <w:u w:val="single"/>
        </w:rPr>
        <w:t>3. "Orçamento" ou "valor orçado" ou "valor de referência" ou simplesmente "valor estimado" não se confu</w:t>
      </w:r>
      <w:r>
        <w:rPr>
          <w:rFonts w:ascii="Arial" w:hAnsi="Arial" w:cs="Arial"/>
          <w:sz w:val="20"/>
          <w:szCs w:val="20"/>
          <w:u w:val="single"/>
        </w:rPr>
        <w:t xml:space="preserve">nde com "preço máximo". O "valor orçado", a depender de previsão </w:t>
      </w:r>
      <w:proofErr w:type="spellStart"/>
      <w:r>
        <w:rPr>
          <w:rFonts w:ascii="Arial" w:hAnsi="Arial" w:cs="Arial"/>
          <w:sz w:val="20"/>
          <w:szCs w:val="20"/>
          <w:u w:val="single"/>
        </w:rPr>
        <w:t>editalícia</w:t>
      </w:r>
      <w:proofErr w:type="spellEnd"/>
      <w:r>
        <w:rPr>
          <w:rFonts w:ascii="Arial" w:hAnsi="Arial" w:cs="Arial"/>
          <w:sz w:val="20"/>
          <w:szCs w:val="20"/>
          <w:u w:val="single"/>
        </w:rPr>
        <w:t>, pode eventualmente ser definido como o "preço máximo" a ser praticado em determinada licitação, mas não necessariamente</w:t>
      </w:r>
      <w:r>
        <w:rPr>
          <w:rFonts w:ascii="Arial" w:hAnsi="Arial" w:cs="Arial"/>
          <w:b w:val="0"/>
          <w:sz w:val="20"/>
          <w:szCs w:val="20"/>
        </w:rPr>
        <w:t>. 4. Nas modalidades licitatórias tradicionais, de acordo com o art. 40, § 2º, II, da Lei n.º 8.666/93, o orçamento estimado deve figurar como anexo do edital, contemplando o preço de referência e, se for o caso, o preço máximo que a Administração se dispõ</w:t>
      </w:r>
      <w:r>
        <w:rPr>
          <w:rFonts w:ascii="Arial" w:hAnsi="Arial" w:cs="Arial"/>
          <w:b w:val="0"/>
          <w:sz w:val="20"/>
          <w:szCs w:val="20"/>
        </w:rPr>
        <w:t xml:space="preserve">e a pagar. </w:t>
      </w:r>
      <w:r>
        <w:rPr>
          <w:rFonts w:ascii="Arial" w:hAnsi="Arial" w:cs="Arial"/>
          <w:sz w:val="20"/>
          <w:szCs w:val="20"/>
          <w:u w:val="single"/>
        </w:rPr>
        <w:t>No caso do pregão, a jurisprudência do TCU é no sentido de que a divulgação do valor orçado e, se for o caso, do preço máximo, caso este tenha sido fixado, é meramente facultativa</w:t>
      </w:r>
      <w:r>
        <w:rPr>
          <w:rFonts w:ascii="Arial" w:hAnsi="Arial" w:cs="Arial"/>
          <w:b w:val="0"/>
          <w:i w:val="0"/>
          <w:sz w:val="20"/>
          <w:szCs w:val="20"/>
        </w:rPr>
        <w:t>”.</w:t>
      </w:r>
    </w:p>
    <w:p w:rsidR="00A62E98" w:rsidRDefault="00B16352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</w:r>
    </w:p>
    <w:p w:rsidR="00A62E98" w:rsidRDefault="00B16352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  <w:t>Ao estabelecer esta premissa, o Tribunal sedimentou o entend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imento de que quando não definido como “máximo” o valor orçado para aquisição do objeto, este poderá ser adquirido por outro valor superior, se este representar a média de mercado. Nesse sentido, apenas para argumentar, eis que não é a realidade dos autos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do processo, não há qualquer prejuízo ao impugnante em participar da licitação com o valor que detém, pois se o mercado modificou sua realidade entre a fase de orçamento e o lançamento da licitação, a concorrência demonstrará tal fato e o valor poderá ser </w:t>
      </w:r>
      <w:r>
        <w:rPr>
          <w:rFonts w:ascii="Arial" w:hAnsi="Arial" w:cs="Arial"/>
          <w:b w:val="0"/>
          <w:i w:val="0"/>
          <w:sz w:val="20"/>
          <w:szCs w:val="20"/>
        </w:rPr>
        <w:t>considerado para sua aquisição.</w:t>
      </w:r>
    </w:p>
    <w:p w:rsidR="00A62E98" w:rsidRDefault="00A62E98" w:rsidP="00B16352">
      <w:pPr>
        <w:pStyle w:val="PargrafodaLista"/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A62E98" w:rsidRDefault="00B16352" w:rsidP="00B16352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II – DA REGULARIDADE NO DESCREVO DE CONDIÇÕES MÍNIMAS DOS APARELHOS OBJETOS DA LICITAÇÃO, ESPECIALMENTE PARA EXIGIR VAZÃO, RUIDO MÍNIMO E MENOR CONSUMO ENERGÉTICO</w:t>
      </w:r>
    </w:p>
    <w:p w:rsidR="00A62E98" w:rsidRDefault="00A62E98" w:rsidP="00B16352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A62E98" w:rsidRDefault="00B16352" w:rsidP="00B16352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Igualmente improcedente e desprovidos de qualquer </w:t>
      </w:r>
      <w:r>
        <w:rPr>
          <w:rFonts w:ascii="Arial" w:hAnsi="Arial" w:cs="Arial"/>
          <w:sz w:val="20"/>
          <w:szCs w:val="20"/>
        </w:rPr>
        <w:t xml:space="preserve">prova figura o argumento de que a descrição dos aparelhos a serem adquiridos pela licitação é excessiva ou limitadora da concorrência, eis que o termo de referência constante do anexo I do edital é expresso ao afirmar que as especificações exigidas para o </w:t>
      </w:r>
      <w:r>
        <w:rPr>
          <w:rFonts w:ascii="Arial" w:hAnsi="Arial" w:cs="Arial"/>
          <w:sz w:val="20"/>
          <w:szCs w:val="20"/>
        </w:rPr>
        <w:t xml:space="preserve">aparelho são as mínimas, ou seja, é admissível configurações distintas, desde que sejam superiores àquelas definidas pela administração como relevantes para o mínimo de qualidade que o aparelho a ser adquirido deve possuir. </w:t>
      </w:r>
    </w:p>
    <w:p w:rsidR="00A62E98" w:rsidRDefault="00B16352" w:rsidP="00B16352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62E98" w:rsidRDefault="00B16352" w:rsidP="00B16352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Ademais ao contrário do que a</w:t>
      </w:r>
      <w:r>
        <w:rPr>
          <w:rFonts w:ascii="Arial" w:hAnsi="Arial" w:cs="Arial"/>
          <w:sz w:val="20"/>
          <w:szCs w:val="20"/>
        </w:rPr>
        <w:t xml:space="preserve">firma o impugnante, desarrazoado seria não exigir critérios mínimos de eficiência aos aparelhos, em especial no que diz respeito à </w:t>
      </w:r>
      <w:r>
        <w:rPr>
          <w:rFonts w:ascii="Arial" w:hAnsi="Arial" w:cs="Arial"/>
          <w:b/>
          <w:sz w:val="20"/>
          <w:szCs w:val="20"/>
          <w:u w:val="single"/>
        </w:rPr>
        <w:t>maior vazão</w:t>
      </w:r>
      <w:r>
        <w:rPr>
          <w:rFonts w:ascii="Arial" w:hAnsi="Arial" w:cs="Arial"/>
          <w:sz w:val="20"/>
          <w:szCs w:val="20"/>
        </w:rPr>
        <w:t xml:space="preserve"> do ar condicionado, cumulado com </w:t>
      </w:r>
      <w:r>
        <w:rPr>
          <w:rFonts w:ascii="Arial" w:hAnsi="Arial" w:cs="Arial"/>
          <w:b/>
          <w:sz w:val="20"/>
          <w:szCs w:val="20"/>
          <w:u w:val="single"/>
        </w:rPr>
        <w:t>ruído mínimo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b/>
          <w:sz w:val="20"/>
          <w:szCs w:val="20"/>
          <w:u w:val="single"/>
        </w:rPr>
        <w:t>menor consumo energético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62E98" w:rsidRDefault="00A62E98" w:rsidP="00B16352">
      <w:pPr>
        <w:pStyle w:val="PargrafodaLista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A62E98" w:rsidRDefault="00B16352" w:rsidP="00B16352">
      <w:pPr>
        <w:pStyle w:val="Pargrafoda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 exigência de critérios</w:t>
      </w:r>
      <w:r>
        <w:rPr>
          <w:rFonts w:ascii="Arial" w:hAnsi="Arial" w:cs="Arial"/>
          <w:sz w:val="20"/>
          <w:szCs w:val="20"/>
        </w:rPr>
        <w:t xml:space="preserve"> que busquem definir qualidade nas compras públicas é condição indissociável da administração, conforme entendimento do Tribunal de Contas da U</w:t>
      </w:r>
      <w:r>
        <w:rPr>
          <w:rFonts w:ascii="Arial" w:hAnsi="Arial" w:cs="Arial"/>
          <w:sz w:val="20"/>
          <w:szCs w:val="20"/>
        </w:rPr>
        <w:t>nião quando afirma que: “A experiência em licitações públicas têm demonstrado que os licit</w:t>
      </w:r>
      <w:r>
        <w:rPr>
          <w:rFonts w:ascii="Arial" w:hAnsi="Arial" w:cs="Arial"/>
          <w:sz w:val="20"/>
          <w:szCs w:val="20"/>
        </w:rPr>
        <w:t xml:space="preserve">antes necessitam, para bem elaborar suas propostas, de especificações claras e precisas, que definam o padrão de qualidade e o desempenho do produto a ser adquirido. </w:t>
      </w:r>
      <w:r>
        <w:rPr>
          <w:rFonts w:ascii="Arial" w:hAnsi="Arial" w:cs="Arial"/>
          <w:i/>
          <w:sz w:val="20"/>
          <w:szCs w:val="20"/>
          <w:u w:val="single"/>
        </w:rPr>
        <w:t>Se não for assim, corre-se o risco de o licitante ofertar o que tem de mais barato e não o</w:t>
      </w:r>
      <w:r>
        <w:rPr>
          <w:rFonts w:ascii="Arial" w:hAnsi="Arial" w:cs="Arial"/>
          <w:i/>
          <w:sz w:val="20"/>
          <w:szCs w:val="20"/>
          <w:u w:val="single"/>
        </w:rPr>
        <w:t xml:space="preserve"> que pode oferecer de melhor</w:t>
      </w:r>
      <w:r>
        <w:rPr>
          <w:rFonts w:ascii="Arial" w:hAnsi="Arial" w:cs="Arial"/>
          <w:sz w:val="20"/>
          <w:szCs w:val="20"/>
        </w:rPr>
        <w:t>". (TCU, Licitações e Contratos, Orientações Básicas, 3a ed., Brasília, 2006, p. 89).</w:t>
      </w:r>
    </w:p>
    <w:p w:rsidR="00A62E98" w:rsidRDefault="00A62E98" w:rsidP="00B16352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A62E98" w:rsidRDefault="00B16352" w:rsidP="00B1635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DA CONCLUSÃO: 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Ante todo o exposto e atendendo aos princípios que regem as licitações públicas, DECIDE-SE PELO CONHECIMENTO da impugnaçã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o, eis que tempestiva, INDEFERINDO-SE, no mérito, os pedidos formulados, MANTENDO NA ÍNTEGRA TODOS OS ITENS DO EDITAL 08/2020. </w:t>
      </w:r>
    </w:p>
    <w:p w:rsidR="00A62E98" w:rsidRDefault="00A62E98" w:rsidP="00B16352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62E98" w:rsidRDefault="00B16352" w:rsidP="00B16352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Dê-se ciência à Impugnante e publicidade da presente decisão, bem como se procedam às demais formalidades (publicidade e outras</w:t>
      </w:r>
      <w:r>
        <w:rPr>
          <w:rFonts w:ascii="Arial" w:hAnsi="Arial" w:cs="Arial"/>
          <w:b w:val="0"/>
          <w:i w:val="0"/>
          <w:sz w:val="20"/>
          <w:szCs w:val="20"/>
        </w:rPr>
        <w:t>) determinadas em lei.</w:t>
      </w:r>
    </w:p>
    <w:p w:rsidR="00A62E98" w:rsidRDefault="00B16352" w:rsidP="00B16352">
      <w:pPr>
        <w:pStyle w:val="Corpodetexto"/>
        <w:spacing w:line="360" w:lineRule="auto"/>
        <w:ind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  </w:t>
      </w:r>
    </w:p>
    <w:p w:rsidR="00A62E98" w:rsidRDefault="00B16352" w:rsidP="00B16352">
      <w:pPr>
        <w:pStyle w:val="Corpodetexto2"/>
        <w:spacing w:after="0" w:line="360" w:lineRule="auto"/>
        <w:ind w:firstLine="1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Timbó, 06 de março de 2020.</w:t>
      </w:r>
    </w:p>
    <w:p w:rsidR="00A62E98" w:rsidRDefault="00A62E98" w:rsidP="00B16352">
      <w:pPr>
        <w:pStyle w:val="Corpodetexto2"/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62E98" w:rsidRDefault="00A62E98" w:rsidP="00B16352">
      <w:pPr>
        <w:pStyle w:val="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62E98" w:rsidRDefault="00B16352" w:rsidP="00B16352">
      <w:pPr>
        <w:pStyle w:val="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 MESSIAS RODRIGUES VARGAS</w:t>
      </w:r>
    </w:p>
    <w:p w:rsidR="00A62E98" w:rsidRDefault="00B16352" w:rsidP="00B16352">
      <w:pPr>
        <w:pStyle w:val="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PREGOEIRO DO MUNICÍPIO DE TIMBÓ</w:t>
      </w:r>
    </w:p>
    <w:p w:rsidR="00A62E98" w:rsidRDefault="00B16352" w:rsidP="00B16352">
      <w:pPr>
        <w:pStyle w:val="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PORTARIA N° 1.788/2020</w:t>
      </w:r>
    </w:p>
    <w:sectPr w:rsidR="00A62E98">
      <w:footerReference w:type="default" r:id="rId8"/>
      <w:pgSz w:w="11906" w:h="16838" w:code="9"/>
      <w:pgMar w:top="3289" w:right="1701" w:bottom="1985" w:left="1701" w:header="709" w:footer="709" w:gutter="0"/>
      <w:paperSrc w:first="1" w:other="1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98" w:rsidRDefault="00B16352">
      <w:pPr>
        <w:spacing w:after="0" w:line="240" w:lineRule="auto"/>
      </w:pPr>
      <w:r>
        <w:separator/>
      </w:r>
    </w:p>
  </w:endnote>
  <w:endnote w:type="continuationSeparator" w:id="0">
    <w:p w:rsidR="00A62E98" w:rsidRDefault="00B1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98" w:rsidRDefault="00A62E98">
    <w:pPr>
      <w:pStyle w:val="Rodap"/>
      <w:jc w:val="right"/>
    </w:pPr>
  </w:p>
  <w:p w:rsidR="00A62E98" w:rsidRDefault="00A62E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98" w:rsidRDefault="00B16352">
      <w:pPr>
        <w:spacing w:after="0" w:line="240" w:lineRule="auto"/>
      </w:pPr>
      <w:r>
        <w:separator/>
      </w:r>
    </w:p>
  </w:footnote>
  <w:footnote w:type="continuationSeparator" w:id="0">
    <w:p w:rsidR="00A62E98" w:rsidRDefault="00B16352">
      <w:pPr>
        <w:spacing w:after="0" w:line="240" w:lineRule="auto"/>
      </w:pPr>
      <w:r>
        <w:continuationSeparator/>
      </w:r>
    </w:p>
  </w:footnote>
  <w:footnote w:id="1">
    <w:p w:rsidR="00A62E98" w:rsidRDefault="00B16352">
      <w:pPr>
        <w:pStyle w:val="Textodenotaderodap"/>
      </w:pPr>
      <w:r>
        <w:rPr>
          <w:rStyle w:val="Refdenotaderodap"/>
        </w:rPr>
        <w:footnoteRef/>
      </w:r>
      <w:r>
        <w:t xml:space="preserve"> TCU Plenário Acórdão nº 392/2011 – Relator: José Jorge, disponível no endereço eletrônico: </w:t>
      </w:r>
      <w:hyperlink r:id="rId1" w:anchor="/documento/acordao-completo/392%252F2011/%2520/DTRELEVANCIA%2520desc%252C%2520NUMACORDAOINT%2520desc/0/%2520?uuid=7d2b0be0-5fd4-11ea-ae35-11a1861ae557" w:history="1">
        <w:r>
          <w:rPr>
            <w:rStyle w:val="Hyperlink"/>
          </w:rPr>
          <w:t>https://pesquisa.apps.tcu.gov.br/#/documento/acordao-completo/392%252F2011/%2520/DTRELEVANCIA%2520desc%252C%2520NUMACORDAOINT%2520desc/0/%2520?uuid=7d2b0be0-5fd4-11ea-ae35-11a1861ae557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336D"/>
    <w:multiLevelType w:val="hybridMultilevel"/>
    <w:tmpl w:val="A686F288"/>
    <w:lvl w:ilvl="0" w:tplc="028AA3E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D3C256E"/>
    <w:multiLevelType w:val="hybridMultilevel"/>
    <w:tmpl w:val="3E6076A2"/>
    <w:lvl w:ilvl="0" w:tplc="C784BC5E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9119F"/>
    <w:multiLevelType w:val="multilevel"/>
    <w:tmpl w:val="57D63A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3">
    <w:nsid w:val="47653647"/>
    <w:multiLevelType w:val="hybridMultilevel"/>
    <w:tmpl w:val="0BD69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3847"/>
    <w:multiLevelType w:val="multilevel"/>
    <w:tmpl w:val="577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F255E"/>
    <w:multiLevelType w:val="hybridMultilevel"/>
    <w:tmpl w:val="23EA0BEE"/>
    <w:lvl w:ilvl="0" w:tplc="2BEC40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C693401"/>
    <w:multiLevelType w:val="hybridMultilevel"/>
    <w:tmpl w:val="2B5A73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D6BA7"/>
    <w:multiLevelType w:val="hybridMultilevel"/>
    <w:tmpl w:val="C4FED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C6EFD"/>
    <w:multiLevelType w:val="hybridMultilevel"/>
    <w:tmpl w:val="37C60926"/>
    <w:lvl w:ilvl="0" w:tplc="505ADF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629DF"/>
    <w:multiLevelType w:val="hybridMultilevel"/>
    <w:tmpl w:val="0BD69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8"/>
    <w:rsid w:val="00A62E98"/>
    <w:rsid w:val="00B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5C3C6-3D18-4446-B51E-1AA879CD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Calibri" w:hAnsi="Times New Roman" w:cs="Times New Roman"/>
      <w:b/>
      <w:bCs/>
      <w:i/>
      <w:i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customStyle="1" w:styleId="textbodyindent">
    <w:name w:val="textbodyinden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customStyle="1" w:styleId="info">
    <w:name w:val="in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squisa.apps.tcu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ABB5-6731-48C2-91BD-CEFD9770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Aparecida Campregher</dc:creator>
  <cp:lastModifiedBy>Rafaela Schneider da Silva</cp:lastModifiedBy>
  <cp:revision>4</cp:revision>
  <cp:lastPrinted>2019-05-16T18:20:00Z</cp:lastPrinted>
  <dcterms:created xsi:type="dcterms:W3CDTF">2020-03-06T17:16:00Z</dcterms:created>
  <dcterms:modified xsi:type="dcterms:W3CDTF">2020-03-06T18:35:00Z</dcterms:modified>
</cp:coreProperties>
</file>