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94C" w:rsidRPr="00E7594C" w:rsidRDefault="00E7594C" w:rsidP="007D0B8C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36"/>
          <w:szCs w:val="36"/>
          <w:lang w:eastAsia="pt-BR"/>
        </w:rPr>
      </w:pPr>
      <w:r w:rsidRPr="00E7594C">
        <w:rPr>
          <w:rFonts w:ascii="Tahoma" w:eastAsia="Times New Roman" w:hAnsi="Tahoma" w:cs="Tahoma"/>
          <w:color w:val="333333"/>
          <w:sz w:val="36"/>
          <w:szCs w:val="36"/>
          <w:lang w:eastAsia="pt-BR"/>
        </w:rPr>
        <w:t xml:space="preserve">Conselho Municipal </w:t>
      </w:r>
      <w:r w:rsidR="00670555">
        <w:rPr>
          <w:rFonts w:ascii="Tahoma" w:eastAsia="Times New Roman" w:hAnsi="Tahoma" w:cs="Tahoma"/>
          <w:color w:val="333333"/>
          <w:sz w:val="36"/>
          <w:szCs w:val="36"/>
          <w:lang w:eastAsia="pt-BR"/>
        </w:rPr>
        <w:t>de Turismo</w:t>
      </w:r>
    </w:p>
    <w:p w:rsidR="00670555" w:rsidRDefault="00670555" w:rsidP="00152874">
      <w:pPr>
        <w:shd w:val="clear" w:color="auto" w:fill="FFFFFF"/>
        <w:spacing w:after="150" w:line="360" w:lineRule="atLeast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E7594C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O Conselho Municipal de 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Turismo foi instituído</w:t>
      </w:r>
      <w:r w:rsidR="003F2691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pela Lei nº 1964, de 20 de outubro de 1997.</w:t>
      </w:r>
    </w:p>
    <w:p w:rsidR="00152874" w:rsidRDefault="003F2691" w:rsidP="00152874">
      <w:pPr>
        <w:shd w:val="clear" w:color="auto" w:fill="FFFFFF"/>
        <w:spacing w:after="150" w:line="360" w:lineRule="atLeast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Conforme Lei Ordinária nº </w:t>
      </w:r>
      <w:proofErr w:type="spellStart"/>
      <w:r w:rsidR="00E00F76" w:rsidRPr="00E00F76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xxx</w:t>
      </w:r>
      <w:proofErr w:type="spellEnd"/>
      <w:r w:rsidR="00E00F76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de 03 de maio de 2023, </w:t>
      </w:r>
      <w:r w:rsidR="00152874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que dispõe</w:t>
      </w:r>
    </w:p>
    <w:p w:rsidR="00921D3D" w:rsidRDefault="00921D3D" w:rsidP="00152874">
      <w:pPr>
        <w:shd w:val="clear" w:color="auto" w:fill="FFFFFF"/>
        <w:spacing w:after="150" w:line="360" w:lineRule="atLeast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</w:p>
    <w:p w:rsidR="00921D3D" w:rsidRDefault="00921D3D" w:rsidP="00152874">
      <w:pPr>
        <w:shd w:val="clear" w:color="auto" w:fill="FFFFFF"/>
        <w:spacing w:after="150" w:line="360" w:lineRule="atLeast"/>
        <w:ind w:firstLine="708"/>
        <w:jc w:val="both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um ícone para acesso público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-  ver</w:t>
      </w:r>
      <w:proofErr w:type="gramEnd"/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Raquel</w:t>
      </w:r>
    </w:p>
    <w:p w:rsidR="002743C2" w:rsidRDefault="002743C2" w:rsidP="00152874">
      <w:pPr>
        <w:shd w:val="clear" w:color="auto" w:fill="FFFFFF"/>
        <w:spacing w:after="150" w:line="360" w:lineRule="atLeast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</w:p>
    <w:p w:rsidR="002743C2" w:rsidRDefault="002743C2" w:rsidP="002743C2"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I – Nome dos integrantes titulares e suplentes, assim como o cargo e instituição ou órgão que cada membro representa;</w:t>
      </w:r>
      <w:r w:rsidRPr="000C75EA">
        <w:rPr>
          <w:rFonts w:ascii="Arial" w:hAnsi="Arial" w:cs="Arial"/>
          <w:color w:val="FF0000"/>
          <w:sz w:val="21"/>
          <w:szCs w:val="21"/>
        </w:rPr>
        <w:br/>
      </w:r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II – Dados para contato com o Conselho (telefone, e-mail e endereço);</w:t>
      </w:r>
      <w:r w:rsidRPr="000C75EA">
        <w:rPr>
          <w:rFonts w:ascii="Arial" w:hAnsi="Arial" w:cs="Arial"/>
          <w:color w:val="FF0000"/>
          <w:sz w:val="21"/>
          <w:szCs w:val="21"/>
        </w:rPr>
        <w:br/>
      </w:r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III – Calendário anual contendo as datas de reuniões a realizar-se;</w:t>
      </w:r>
      <w:r w:rsidRPr="000C75EA">
        <w:rPr>
          <w:rFonts w:ascii="Arial" w:hAnsi="Arial" w:cs="Arial"/>
          <w:color w:val="FF0000"/>
          <w:sz w:val="21"/>
          <w:szCs w:val="21"/>
        </w:rPr>
        <w:br/>
      </w:r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IV – Horário e endereço do local onde ocorrem as reuniões;</w:t>
      </w:r>
      <w:r w:rsidRPr="000C75EA">
        <w:rPr>
          <w:rFonts w:ascii="Arial" w:hAnsi="Arial" w:cs="Arial"/>
          <w:color w:val="FF0000"/>
          <w:sz w:val="21"/>
          <w:szCs w:val="21"/>
        </w:rPr>
        <w:br/>
      </w:r>
      <w:r w:rsidRPr="000C75EA">
        <w:rPr>
          <w:rFonts w:ascii="Arial" w:hAnsi="Arial" w:cs="Arial"/>
          <w:color w:val="FF0000"/>
          <w:sz w:val="21"/>
          <w:szCs w:val="21"/>
          <w:shd w:val="clear" w:color="auto" w:fill="FFFFFF"/>
        </w:rPr>
        <w:t>V – Arquivos contendo as atas das reuniões, resoluções, deliberações normativas e prestação de contas</w:t>
      </w:r>
    </w:p>
    <w:p w:rsidR="003F2691" w:rsidRDefault="003F2691" w:rsidP="00152874">
      <w:pPr>
        <w:shd w:val="clear" w:color="auto" w:fill="FFFFFF"/>
        <w:spacing w:after="150" w:line="360" w:lineRule="atLeast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seguem as informações:</w:t>
      </w:r>
    </w:p>
    <w:p w:rsidR="0063364E" w:rsidRDefault="0063364E" w:rsidP="007D0B8C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63364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I – Nome dos integrantes titulares e suplentes, assim como o cargo e instituição ou órgão que cada membro representa;</w:t>
      </w:r>
      <w:r w:rsidR="0000326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proofErr w:type="gramStart"/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Copiar</w:t>
      </w:r>
      <w:proofErr w:type="gramEnd"/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 xml:space="preserve"> da portaria</w:t>
      </w:r>
    </w:p>
    <w:p w:rsidR="00003268" w:rsidRDefault="0063364E" w:rsidP="007D0B8C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</w:pPr>
      <w:r w:rsidRPr="0063364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II – Dados para contato com o Conselho (telefone, e-mail e endereço);</w:t>
      </w:r>
      <w:r w:rsidR="0000326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proofErr w:type="gramStart"/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Copiar</w:t>
      </w:r>
      <w:proofErr w:type="gramEnd"/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 xml:space="preserve"> da </w:t>
      </w:r>
      <w:r w:rsid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planilha – acrescentar dados que faltam</w:t>
      </w:r>
      <w:r w:rsidR="00902F34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 xml:space="preserve"> - </w:t>
      </w:r>
      <w:r w:rsidR="00902F34" w:rsidRPr="00902F34">
        <w:rPr>
          <w:rFonts w:ascii="Tahoma" w:eastAsia="Times New Roman" w:hAnsi="Tahoma" w:cs="Tahoma"/>
          <w:b/>
          <w:color w:val="FF0000"/>
          <w:sz w:val="20"/>
          <w:szCs w:val="20"/>
          <w:highlight w:val="yellow"/>
          <w:lang w:eastAsia="pt-BR"/>
        </w:rPr>
        <w:t>LGPD</w:t>
      </w:r>
    </w:p>
    <w:p w:rsidR="00152874" w:rsidRPr="00152874" w:rsidRDefault="00152874" w:rsidP="0015287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52874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Telefone:</w:t>
      </w:r>
    </w:p>
    <w:p w:rsidR="00152874" w:rsidRPr="00152874" w:rsidRDefault="00152874" w:rsidP="0015287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52874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E-Mail:</w:t>
      </w:r>
    </w:p>
    <w:p w:rsidR="00152874" w:rsidRPr="00152874" w:rsidRDefault="00152874" w:rsidP="0015287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52874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Endereço:</w:t>
      </w:r>
    </w:p>
    <w:p w:rsidR="0063364E" w:rsidRPr="0063364E" w:rsidRDefault="0063364E" w:rsidP="007D0B8C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63364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III – Calendário anual contendo as datas de reuniões a realizar-se;</w:t>
      </w:r>
      <w:r w:rsidR="0000326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secretarias????</w:t>
      </w:r>
    </w:p>
    <w:p w:rsidR="0063364E" w:rsidRDefault="0063364E" w:rsidP="007D0B8C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</w:pPr>
      <w:r w:rsidRPr="0063364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IV – Horário e endereço do local onde ocorrem as reuniões;</w:t>
      </w:r>
      <w:r w:rsidR="00003268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 xml:space="preserve">endereço Auditório, mas </w:t>
      </w:r>
      <w:proofErr w:type="gramStart"/>
      <w:r w:rsidR="00003268" w:rsidRPr="00003268">
        <w:rPr>
          <w:rFonts w:ascii="Tahoma" w:eastAsia="Times New Roman" w:hAnsi="Tahoma" w:cs="Tahoma"/>
          <w:color w:val="333333"/>
          <w:sz w:val="20"/>
          <w:szCs w:val="20"/>
          <w:highlight w:val="yellow"/>
          <w:lang w:eastAsia="pt-BR"/>
        </w:rPr>
        <w:t>horário ?</w:t>
      </w:r>
      <w:proofErr w:type="gramEnd"/>
    </w:p>
    <w:p w:rsidR="00152874" w:rsidRPr="00902F34" w:rsidRDefault="00152874" w:rsidP="00152874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FF0000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“</w:t>
      </w:r>
      <w:r w:rsidRPr="00E7594C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As reuniões acontecem nas </w:t>
      </w:r>
      <w:r w:rsidRPr="00152874">
        <w:rPr>
          <w:rFonts w:ascii="Tahoma" w:eastAsia="Times New Roman" w:hAnsi="Tahoma" w:cs="Tahoma"/>
          <w:b/>
          <w:color w:val="FF0000"/>
          <w:sz w:val="20"/>
          <w:szCs w:val="20"/>
          <w:lang w:eastAsia="pt-BR"/>
        </w:rPr>
        <w:t>segundas terças-feiras de cada mês às 14:30 horas</w:t>
      </w:r>
      <w:r w:rsidRPr="0015287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Pr="00E7594C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n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 auditório da Prefeitura Municipal de Timbó, situado à Avenida Getúlio Vargas, 700 – Centro – Timbó/SC”</w:t>
      </w:r>
    </w:p>
    <w:p w:rsidR="0063364E" w:rsidRDefault="0063364E" w:rsidP="007D0B8C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63364E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V – Arquivos contendo as atas das reuniões, resoluções, deliberações normativas e prestação de contas.</w:t>
      </w:r>
    </w:p>
    <w:p w:rsidR="00B9656D" w:rsidRPr="00921D3D" w:rsidRDefault="00921D3D" w:rsidP="0012575E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Legislação (</w:t>
      </w:r>
      <w:r w:rsidR="00003268"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Lei de Criação e alterações</w:t>
      </w:r>
      <w:r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 xml:space="preserve">, </w:t>
      </w:r>
      <w:r w:rsidR="00003268"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Portarias</w:t>
      </w:r>
      <w:r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,</w:t>
      </w:r>
      <w:r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 xml:space="preserve"> </w:t>
      </w:r>
      <w:r w:rsidR="00B9656D" w:rsidRPr="00921D3D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Decretos/Resoluções</w:t>
      </w:r>
      <w:r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)</w:t>
      </w:r>
    </w:p>
    <w:p w:rsidR="00003268" w:rsidRPr="00117975" w:rsidRDefault="00003268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17975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Atas das Reuniões</w:t>
      </w:r>
    </w:p>
    <w:p w:rsidR="00003268" w:rsidRPr="00117975" w:rsidRDefault="00003268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17975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Deliberações Normativas</w:t>
      </w:r>
    </w:p>
    <w:p w:rsidR="00003268" w:rsidRDefault="00003268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 w:rsidRPr="00117975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Prestação de Contas</w:t>
      </w:r>
      <w:r w:rsidR="00902F34"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 xml:space="preserve"> (IN 20)</w:t>
      </w:r>
    </w:p>
    <w:p w:rsidR="00921D3D" w:rsidRDefault="00921D3D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Pareceres</w:t>
      </w:r>
    </w:p>
    <w:p w:rsidR="00921D3D" w:rsidRDefault="00921D3D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lastRenderedPageBreak/>
        <w:t>Editais</w:t>
      </w:r>
    </w:p>
    <w:p w:rsidR="00921D3D" w:rsidRDefault="00921D3D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  <w:t>Convocações</w:t>
      </w:r>
    </w:p>
    <w:p w:rsidR="00921D3D" w:rsidRPr="00117975" w:rsidRDefault="00921D3D" w:rsidP="007D0B8C">
      <w:pPr>
        <w:pStyle w:val="Pargrafoda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b/>
          <w:color w:val="333333"/>
          <w:sz w:val="20"/>
          <w:szCs w:val="20"/>
          <w:highlight w:val="yellow"/>
          <w:lang w:eastAsia="pt-BR"/>
        </w:rPr>
      </w:pPr>
    </w:p>
    <w:p w:rsidR="0063364E" w:rsidRPr="00B9656D" w:rsidRDefault="0063364E" w:rsidP="00117975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</w:pPr>
      <w:r w:rsidRPr="00B9656D"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  <w:t>§1º. Os dados constantes do inciso V deste artigo deverão ser disponibilizados no sítio eletrônico oficial do Município no prazo máximo de cinco dias úteis após a data da ocorrência das reuniões, edição das resoluções e deliberações normativas aprovadas.</w:t>
      </w:r>
    </w:p>
    <w:p w:rsidR="00B9656D" w:rsidRDefault="0063364E" w:rsidP="00117975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</w:pPr>
      <w:r w:rsidRPr="00B9656D"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  <w:t>§2º. Os documentos devem ser salvos em formato pesquisável, em arquivos individualizados e nomeados de acordo com o seu conteúdo.</w:t>
      </w:r>
    </w:p>
    <w:p w:rsidR="003F2691" w:rsidRPr="00B9656D" w:rsidRDefault="0063364E" w:rsidP="00117975">
      <w:pPr>
        <w:shd w:val="clear" w:color="auto" w:fill="FFFFFF"/>
        <w:spacing w:after="150" w:line="360" w:lineRule="atLeas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</w:pPr>
      <w:r w:rsidRPr="00B9656D"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  <w:t>Art. 2</w:t>
      </w:r>
      <w:r w:rsidR="00B9656D" w:rsidRPr="00B9656D"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  <w:t>º A</w:t>
      </w:r>
      <w:r w:rsidRPr="00B9656D"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  <w:t xml:space="preserve"> Câmara Municipal deverá disponibilizar em seu site oficial um ícone denominado “Conselhos Municipais” redirecionando os usuários de sua página para o link da Prefeitura Municipal de Timbó.</w:t>
      </w:r>
    </w:p>
    <w:p w:rsidR="00065151" w:rsidRDefault="00065151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065151" w:rsidRDefault="00902F34">
      <w:pPr>
        <w:rPr>
          <w:rFonts w:ascii="Arial" w:hAnsi="Arial" w:cs="Arial"/>
          <w:color w:val="FF0000"/>
          <w:sz w:val="21"/>
          <w:szCs w:val="21"/>
          <w:highlight w:val="yellow"/>
          <w:shd w:val="clear" w:color="auto" w:fill="FFFFFF"/>
        </w:rPr>
      </w:pPr>
      <w:r w:rsidRPr="00902F34">
        <w:rPr>
          <w:rFonts w:ascii="Arial" w:hAnsi="Arial" w:cs="Arial"/>
          <w:color w:val="FF0000"/>
          <w:sz w:val="21"/>
          <w:szCs w:val="21"/>
          <w:highlight w:val="yellow"/>
          <w:shd w:val="clear" w:color="auto" w:fill="FFFFFF"/>
        </w:rPr>
        <w:t>Secretaria deve informar responsável pelo cadastro dessas informações no sistema IPM (Portal do Cidadão)</w:t>
      </w:r>
    </w:p>
    <w:p w:rsidR="00C15FB5" w:rsidRDefault="00C15FB5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C15FB5" w:rsidRDefault="00C15FB5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Andrei reunião de secretários.</w:t>
      </w:r>
    </w:p>
    <w:p w:rsidR="00C15FB5" w:rsidRDefault="00C15FB5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C15FB5" w:rsidRDefault="00C15FB5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Fazer memorando em conjunto com Gabinete</w:t>
      </w:r>
    </w:p>
    <w:p w:rsidR="00C15FB5" w:rsidRDefault="00C15FB5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:rsidR="00C15FB5" w:rsidRDefault="00FB7E4D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Link YouTube das reuniões – ver com raquel</w:t>
      </w:r>
      <w:bookmarkStart w:id="0" w:name="_GoBack"/>
      <w:bookmarkEnd w:id="0"/>
    </w:p>
    <w:sectPr w:rsidR="00C15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3FE9"/>
    <w:multiLevelType w:val="hybridMultilevel"/>
    <w:tmpl w:val="0D225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7178C"/>
    <w:multiLevelType w:val="hybridMultilevel"/>
    <w:tmpl w:val="FC865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1B"/>
    <w:rsid w:val="00003268"/>
    <w:rsid w:val="00065151"/>
    <w:rsid w:val="00117975"/>
    <w:rsid w:val="00152874"/>
    <w:rsid w:val="001C0E97"/>
    <w:rsid w:val="002743C2"/>
    <w:rsid w:val="003F2691"/>
    <w:rsid w:val="00411887"/>
    <w:rsid w:val="005078DE"/>
    <w:rsid w:val="00550DED"/>
    <w:rsid w:val="005C62EF"/>
    <w:rsid w:val="0063364E"/>
    <w:rsid w:val="00670555"/>
    <w:rsid w:val="007D0B8C"/>
    <w:rsid w:val="00902F34"/>
    <w:rsid w:val="00921D3D"/>
    <w:rsid w:val="00B9656D"/>
    <w:rsid w:val="00C15FB5"/>
    <w:rsid w:val="00DB4A1B"/>
    <w:rsid w:val="00E00F76"/>
    <w:rsid w:val="00E7594C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0629"/>
  <w15:chartTrackingRefBased/>
  <w15:docId w15:val="{BC20EA57-5C80-4E12-A5CB-ECACF941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A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DB4A1B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59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0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2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 Interno</dc:creator>
  <cp:keywords/>
  <dc:description/>
  <cp:lastModifiedBy>Controle Interno</cp:lastModifiedBy>
  <cp:revision>16</cp:revision>
  <dcterms:created xsi:type="dcterms:W3CDTF">2023-05-04T16:43:00Z</dcterms:created>
  <dcterms:modified xsi:type="dcterms:W3CDTF">2023-05-05T13:22:00Z</dcterms:modified>
</cp:coreProperties>
</file>